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32" w:rsidRDefault="006C3C32" w:rsidP="006C3C32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</w:rPr>
        <w:t xml:space="preserve">Session 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choice</w:t>
      </w:r>
      <w:proofErr w:type="spellEnd"/>
      <w:r>
        <w:rPr>
          <w:rFonts w:ascii="Times" w:hAnsi="Times" w:cs="Times"/>
          <w:i/>
          <w:iCs/>
          <w:sz w:val="20"/>
          <w:szCs w:val="20"/>
        </w:rPr>
        <w:t xml:space="preserve">: 5 - 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Rice</w:t>
      </w:r>
      <w:proofErr w:type="spellEnd"/>
      <w:r>
        <w:rPr>
          <w:rFonts w:ascii="Times" w:hAnsi="Times" w:cs="Times"/>
          <w:i/>
          <w:iCs/>
          <w:sz w:val="20"/>
          <w:szCs w:val="20"/>
        </w:rPr>
        <w:t xml:space="preserve"> plant 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development</w:t>
      </w:r>
      <w:proofErr w:type="spellEnd"/>
      <w:r>
        <w:rPr>
          <w:rFonts w:ascii="Times" w:hAnsi="Times" w:cs="Times"/>
          <w:i/>
          <w:iCs/>
          <w:sz w:val="20"/>
          <w:szCs w:val="20"/>
        </w:rPr>
        <w:t xml:space="preserve"> and performance</w:t>
      </w:r>
    </w:p>
    <w:p w:rsidR="006C3C32" w:rsidRDefault="006C3C32" w:rsidP="006C3C32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sz w:val="20"/>
          <w:szCs w:val="20"/>
        </w:rPr>
      </w:pPr>
      <w:proofErr w:type="spellStart"/>
      <w:r>
        <w:rPr>
          <w:rFonts w:ascii="Times" w:hAnsi="Times" w:cs="Times"/>
          <w:i/>
          <w:iCs/>
          <w:sz w:val="20"/>
          <w:szCs w:val="20"/>
        </w:rPr>
        <w:t>Presenting</w:t>
      </w:r>
      <w:proofErr w:type="spellEnd"/>
      <w:r>
        <w:rPr>
          <w:rFonts w:ascii="Times" w:hAnsi="Times" w:cs="Times"/>
          <w:i/>
          <w:iCs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author</w:t>
      </w:r>
      <w:proofErr w:type="spellEnd"/>
      <w:r>
        <w:rPr>
          <w:rFonts w:ascii="Times" w:hAnsi="Times" w:cs="Times"/>
          <w:i/>
          <w:iCs/>
          <w:sz w:val="20"/>
          <w:szCs w:val="20"/>
        </w:rPr>
        <w:t>: E-mail perin@cirad.fr - registration ID 26191</w:t>
      </w:r>
    </w:p>
    <w:p w:rsidR="006C3C32" w:rsidRDefault="006C3C32" w:rsidP="006C3C32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</w:rPr>
        <w:t>Abstract ID: 48</w:t>
      </w:r>
    </w:p>
    <w:p w:rsidR="006C3C32" w:rsidRDefault="006C3C32" w:rsidP="006C3C3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i/>
          <w:iCs/>
        </w:rPr>
      </w:pPr>
      <w:proofErr w:type="spellStart"/>
      <w:r>
        <w:rPr>
          <w:rFonts w:ascii="Times" w:hAnsi="Times" w:cs="Times"/>
          <w:b/>
          <w:bCs/>
          <w:i/>
          <w:iCs/>
        </w:rPr>
        <w:t>Towards</w:t>
      </w:r>
      <w:proofErr w:type="spellEnd"/>
      <w:r>
        <w:rPr>
          <w:rFonts w:ascii="Times" w:hAnsi="Times" w:cs="Times"/>
          <w:b/>
          <w:bCs/>
          <w:i/>
          <w:iCs/>
        </w:rPr>
        <w:t xml:space="preserve"> SHR and SCR </w:t>
      </w:r>
      <w:proofErr w:type="spellStart"/>
      <w:r>
        <w:rPr>
          <w:rFonts w:ascii="Times" w:hAnsi="Times" w:cs="Times"/>
          <w:b/>
          <w:bCs/>
          <w:i/>
          <w:iCs/>
        </w:rPr>
        <w:t>functions</w:t>
      </w:r>
      <w:proofErr w:type="spellEnd"/>
      <w:r>
        <w:rPr>
          <w:rFonts w:ascii="Times" w:hAnsi="Times" w:cs="Times"/>
          <w:b/>
          <w:bCs/>
          <w:i/>
          <w:iCs/>
        </w:rPr>
        <w:t xml:space="preserve"> in </w:t>
      </w:r>
      <w:proofErr w:type="spellStart"/>
      <w:r>
        <w:rPr>
          <w:rFonts w:ascii="Times" w:hAnsi="Times" w:cs="Times"/>
          <w:b/>
          <w:bCs/>
          <w:i/>
          <w:iCs/>
        </w:rPr>
        <w:t>rice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root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ground</w:t>
      </w:r>
      <w:proofErr w:type="spellEnd"/>
      <w:r>
        <w:rPr>
          <w:rFonts w:ascii="Times" w:hAnsi="Times" w:cs="Times"/>
          <w:b/>
          <w:bCs/>
          <w:i/>
          <w:iCs/>
        </w:rPr>
        <w:t xml:space="preserve"> tissue formation</w:t>
      </w:r>
    </w:p>
    <w:p w:rsidR="006C3C32" w:rsidRDefault="006C3C32" w:rsidP="006C3C32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sz w:val="22"/>
          <w:szCs w:val="22"/>
        </w:rPr>
      </w:pPr>
      <w:r>
        <w:rPr>
          <w:rFonts w:ascii="Times" w:hAnsi="Times" w:cs="Times"/>
          <w:i/>
          <w:iCs/>
          <w:sz w:val="22"/>
          <w:szCs w:val="22"/>
        </w:rPr>
        <w:t>SOPHIA HENRY</w:t>
      </w:r>
      <w:r>
        <w:rPr>
          <w:rFonts w:ascii="Times" w:hAnsi="Times" w:cs="Times"/>
          <w:i/>
          <w:iCs/>
          <w:position w:val="6"/>
          <w:sz w:val="16"/>
          <w:szCs w:val="16"/>
        </w:rPr>
        <w:t>1</w:t>
      </w:r>
      <w:r>
        <w:rPr>
          <w:rFonts w:ascii="Times" w:hAnsi="Times" w:cs="Times"/>
          <w:i/>
          <w:iCs/>
          <w:sz w:val="22"/>
          <w:szCs w:val="22"/>
        </w:rPr>
        <w:t>, FANCHON DIVOL</w:t>
      </w:r>
      <w:r>
        <w:rPr>
          <w:rFonts w:ascii="Times" w:hAnsi="Times" w:cs="Times"/>
          <w:i/>
          <w:iCs/>
          <w:position w:val="6"/>
          <w:sz w:val="16"/>
          <w:szCs w:val="16"/>
        </w:rPr>
        <w:t>2</w:t>
      </w:r>
      <w:r>
        <w:rPr>
          <w:rFonts w:ascii="Times" w:hAnsi="Times" w:cs="Times"/>
          <w:i/>
          <w:iCs/>
          <w:sz w:val="22"/>
          <w:szCs w:val="22"/>
        </w:rPr>
        <w:t>, GERMAIN PAULUZZI</w:t>
      </w:r>
      <w:r>
        <w:rPr>
          <w:rFonts w:ascii="Times" w:hAnsi="Times" w:cs="Times"/>
          <w:i/>
          <w:iCs/>
          <w:position w:val="6"/>
          <w:sz w:val="16"/>
          <w:szCs w:val="16"/>
        </w:rPr>
        <w:t>3</w:t>
      </w:r>
      <w:r>
        <w:rPr>
          <w:rFonts w:ascii="Times" w:hAnsi="Times" w:cs="Times"/>
          <w:i/>
          <w:iCs/>
          <w:sz w:val="22"/>
          <w:szCs w:val="22"/>
        </w:rPr>
        <w:t>, CHARLOTTE BUREAU</w:t>
      </w:r>
      <w:r>
        <w:rPr>
          <w:rFonts w:ascii="Times" w:hAnsi="Times" w:cs="Times"/>
          <w:i/>
          <w:iCs/>
          <w:position w:val="6"/>
          <w:sz w:val="16"/>
          <w:szCs w:val="16"/>
        </w:rPr>
        <w:t>1</w:t>
      </w:r>
      <w:r>
        <w:rPr>
          <w:rFonts w:ascii="Times" w:hAnsi="Times" w:cs="Times"/>
          <w:i/>
          <w:iCs/>
          <w:sz w:val="22"/>
          <w:szCs w:val="22"/>
        </w:rPr>
        <w:t>, NADEGE LANAU</w:t>
      </w:r>
      <w:r>
        <w:rPr>
          <w:rFonts w:ascii="Times" w:hAnsi="Times" w:cs="Times"/>
          <w:i/>
          <w:iCs/>
          <w:position w:val="6"/>
          <w:sz w:val="16"/>
          <w:szCs w:val="16"/>
        </w:rPr>
        <w:t>1</w:t>
      </w:r>
      <w:r>
        <w:rPr>
          <w:rFonts w:ascii="Times" w:hAnsi="Times" w:cs="Times"/>
          <w:i/>
          <w:iCs/>
          <w:sz w:val="22"/>
          <w:szCs w:val="22"/>
        </w:rPr>
        <w:t>, EMMANUEL GUIDERDONI</w:t>
      </w:r>
      <w:r>
        <w:rPr>
          <w:rFonts w:ascii="Times" w:hAnsi="Times" w:cs="Times"/>
          <w:i/>
          <w:iCs/>
          <w:position w:val="6"/>
          <w:sz w:val="16"/>
          <w:szCs w:val="16"/>
        </w:rPr>
        <w:t>1</w:t>
      </w:r>
      <w:r>
        <w:rPr>
          <w:rFonts w:ascii="Times" w:hAnsi="Times" w:cs="Times"/>
          <w:i/>
          <w:iCs/>
          <w:sz w:val="22"/>
          <w:szCs w:val="22"/>
        </w:rPr>
        <w:t>, ANNE DIEVART</w:t>
      </w:r>
      <w:r>
        <w:rPr>
          <w:rFonts w:ascii="Times" w:hAnsi="Times" w:cs="Times"/>
          <w:i/>
          <w:iCs/>
          <w:position w:val="6"/>
          <w:sz w:val="16"/>
          <w:szCs w:val="16"/>
        </w:rPr>
        <w:t>1</w:t>
      </w:r>
      <w:r>
        <w:rPr>
          <w:rFonts w:ascii="Times" w:hAnsi="Times" w:cs="Times"/>
          <w:i/>
          <w:iCs/>
          <w:sz w:val="22"/>
          <w:szCs w:val="22"/>
        </w:rPr>
        <w:t xml:space="preserve">, </w:t>
      </w:r>
      <w:r>
        <w:rPr>
          <w:rFonts w:ascii="Times" w:hAnsi="Times" w:cs="Times"/>
          <w:i/>
          <w:iCs/>
          <w:sz w:val="22"/>
          <w:szCs w:val="22"/>
          <w:u w:val="single"/>
        </w:rPr>
        <w:t>CHRISTOPHE PERIN</w:t>
      </w:r>
      <w:r>
        <w:rPr>
          <w:rFonts w:ascii="Times" w:hAnsi="Times" w:cs="Times"/>
          <w:i/>
          <w:iCs/>
          <w:position w:val="6"/>
          <w:sz w:val="16"/>
          <w:szCs w:val="16"/>
        </w:rPr>
        <w:t>1</w:t>
      </w:r>
    </w:p>
    <w:p w:rsidR="006C3C32" w:rsidRDefault="006C3C32" w:rsidP="006C3C32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</w:rPr>
        <w:t xml:space="preserve">1- CIRAD, UMR 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Agap</w:t>
      </w:r>
      <w:proofErr w:type="spellEnd"/>
      <w:r>
        <w:rPr>
          <w:rFonts w:ascii="Times" w:hAnsi="Times" w:cs="Times"/>
          <w:i/>
          <w:iCs/>
          <w:sz w:val="20"/>
          <w:szCs w:val="20"/>
        </w:rPr>
        <w:t>, F-34398 Montpellier, France</w:t>
      </w:r>
    </w:p>
    <w:p w:rsidR="006C3C32" w:rsidRDefault="006C3C32" w:rsidP="006C3C32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</w:rPr>
        <w:t>2- BPMP UMR 5004 CNRS/INRA/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SupAgro</w:t>
      </w:r>
      <w:proofErr w:type="spellEnd"/>
      <w:r>
        <w:rPr>
          <w:rFonts w:ascii="Times" w:hAnsi="Times" w:cs="Times"/>
          <w:i/>
          <w:iCs/>
          <w:sz w:val="20"/>
          <w:szCs w:val="20"/>
        </w:rPr>
        <w:t>-M/UM2, 34060 Montpellier, France</w:t>
      </w:r>
    </w:p>
    <w:p w:rsidR="006C3C32" w:rsidRDefault="006C3C32" w:rsidP="006C3C32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</w:rPr>
        <w:t xml:space="preserve">3- Center for Plant 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Cell</w:t>
      </w:r>
      <w:proofErr w:type="spellEnd"/>
      <w:r>
        <w:rPr>
          <w:rFonts w:ascii="Times" w:hAnsi="Times" w:cs="Times"/>
          <w:i/>
          <w:iCs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Biology</w:t>
      </w:r>
      <w:proofErr w:type="spellEnd"/>
      <w:r>
        <w:rPr>
          <w:rFonts w:ascii="Times" w:hAnsi="Times" w:cs="Times"/>
          <w:i/>
          <w:iCs/>
          <w:sz w:val="20"/>
          <w:szCs w:val="20"/>
        </w:rPr>
        <w:t xml:space="preserve">, 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Botany</w:t>
      </w:r>
      <w:proofErr w:type="spellEnd"/>
      <w:r>
        <w:rPr>
          <w:rFonts w:ascii="Times" w:hAnsi="Times" w:cs="Times"/>
          <w:i/>
          <w:iCs/>
          <w:sz w:val="20"/>
          <w:szCs w:val="20"/>
        </w:rPr>
        <w:t xml:space="preserve"> and Plant Sciences 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Department</w:t>
      </w:r>
      <w:proofErr w:type="spellEnd"/>
      <w:r>
        <w:rPr>
          <w:rFonts w:ascii="Times" w:hAnsi="Times" w:cs="Times"/>
          <w:i/>
          <w:iCs/>
          <w:sz w:val="20"/>
          <w:szCs w:val="20"/>
        </w:rPr>
        <w:t xml:space="preserve">, 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University</w:t>
      </w:r>
      <w:proofErr w:type="spellEnd"/>
      <w:r>
        <w:rPr>
          <w:rFonts w:ascii="Times" w:hAnsi="Times" w:cs="Times"/>
          <w:i/>
          <w:iCs/>
          <w:sz w:val="20"/>
          <w:szCs w:val="20"/>
        </w:rPr>
        <w:t xml:space="preserve"> of </w:t>
      </w:r>
      <w:proofErr w:type="spellStart"/>
      <w:r>
        <w:rPr>
          <w:rFonts w:ascii="Times" w:hAnsi="Times" w:cs="Times"/>
          <w:i/>
          <w:iCs/>
          <w:sz w:val="20"/>
          <w:szCs w:val="20"/>
        </w:rPr>
        <w:t>California</w:t>
      </w:r>
      <w:proofErr w:type="spellEnd"/>
      <w:r>
        <w:rPr>
          <w:rFonts w:ascii="Times" w:hAnsi="Times" w:cs="Times"/>
          <w:i/>
          <w:iCs/>
          <w:sz w:val="20"/>
          <w:szCs w:val="20"/>
        </w:rPr>
        <w:t>, Riverside, Riverside, CA 92521, USA</w:t>
      </w:r>
    </w:p>
    <w:p w:rsidR="006C3C32" w:rsidRDefault="006C3C32" w:rsidP="006C3C3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i/>
          <w:iCs/>
          <w:sz w:val="22"/>
          <w:szCs w:val="22"/>
        </w:rPr>
      </w:pPr>
      <w:r>
        <w:rPr>
          <w:rFonts w:ascii="Times" w:hAnsi="Times" w:cs="Times"/>
          <w:i/>
          <w:iCs/>
          <w:sz w:val="22"/>
          <w:szCs w:val="22"/>
        </w:rPr>
        <w:t xml:space="preserve">In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rice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roots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,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ground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tissue (GT)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is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composed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of one layer of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exodermis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, one layer of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sclerenchyma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,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several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layers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of cortex and one layer of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endodermis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.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These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tissues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play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critical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function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for adaptation to variable stress conditions. The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multilayered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cortical tissue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contains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aerenchyma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which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are air-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containing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cavities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allowing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growth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under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subergmence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conditions. In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Arabidopsis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thaliana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,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proper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formation and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identity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specification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of GT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involved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two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transcription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factors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of the GRAS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family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: the SHORTROOT (SHR) and SCARECROW (SCR)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genes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. In a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simplified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model, SHR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is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transcribed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in the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stele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. The SHR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proteins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then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move in the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initials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where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they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induce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SCR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gene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transcription. SHR and SCR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proteins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induce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together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the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asymetrical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division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separating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two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GT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cell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layers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and SHR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specify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endodermis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identity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of the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inner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GT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cell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layer. SCR, by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protein-protein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interaction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sequestrates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SHR in the nucleus,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limiting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the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number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of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endodermis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cell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layers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to a single one. In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rice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,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there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is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two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orthologs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to A.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thaliana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SHR and SCR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genes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.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We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analyzed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their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functions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in cortex and GT formation in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rice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with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loss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and gain of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function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mutants. Our first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results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suggest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that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the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two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SHR and SCR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genes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are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redundantly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involved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in cortex formation and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their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function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seems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to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differ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compared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to A. </w:t>
      </w:r>
      <w:proofErr w:type="spellStart"/>
      <w:r>
        <w:rPr>
          <w:rFonts w:ascii="Times" w:hAnsi="Times" w:cs="Times"/>
          <w:i/>
          <w:iCs/>
          <w:sz w:val="22"/>
          <w:szCs w:val="22"/>
        </w:rPr>
        <w:t>thaliana</w:t>
      </w:r>
      <w:proofErr w:type="spellEnd"/>
      <w:r>
        <w:rPr>
          <w:rFonts w:ascii="Times" w:hAnsi="Times" w:cs="Times"/>
          <w:i/>
          <w:iCs/>
          <w:sz w:val="22"/>
          <w:szCs w:val="22"/>
        </w:rPr>
        <w:t xml:space="preserve"> one.</w:t>
      </w:r>
    </w:p>
    <w:p w:rsidR="00925202" w:rsidRDefault="00925202">
      <w:bookmarkStart w:id="0" w:name="_GoBack"/>
      <w:bookmarkEnd w:id="0"/>
    </w:p>
    <w:sectPr w:rsidR="00925202" w:rsidSect="009252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32"/>
    <w:rsid w:val="006C3C32"/>
    <w:rsid w:val="0092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DF9E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C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C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1615</Characters>
  <Application>Microsoft Macintosh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GUIDERDONI Emmanuel</dc:creator>
  <cp:keywords/>
  <dc:description/>
  <cp:lastModifiedBy>GUIDERDONI Emmanuel</cp:lastModifiedBy>
  <cp:revision>1</cp:revision>
  <dcterms:created xsi:type="dcterms:W3CDTF">2016-08-18T08:32:00Z</dcterms:created>
  <dcterms:modified xsi:type="dcterms:W3CDTF">2016-08-18T08:33:00Z</dcterms:modified>
</cp:coreProperties>
</file>